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47"/>
        <w:gridCol w:w="8212"/>
      </w:tblGrid>
      <w:tr w:rsidR="007530A2" w:rsidRPr="008D6248" w:rsidTr="00E41424">
        <w:tc>
          <w:tcPr>
            <w:tcW w:w="6247" w:type="dxa"/>
          </w:tcPr>
          <w:p w:rsidR="007530A2" w:rsidRPr="008D6248" w:rsidRDefault="007530A2" w:rsidP="0068595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TRƯỜNG : THCS BA ĐÌNH</w:t>
            </w:r>
          </w:p>
          <w:p w:rsidR="007530A2" w:rsidRPr="008D6248" w:rsidRDefault="007530A2" w:rsidP="0068595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TỔ : </w:t>
            </w:r>
            <w:r w:rsidR="004B0F9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THỂ DỤC – NGHỆ THUẬT</w:t>
            </w:r>
          </w:p>
          <w:p w:rsidR="00685956" w:rsidRPr="008D6248" w:rsidRDefault="00685956" w:rsidP="0068595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GIÁO VIÊN : LÊ ĐỨC THÀNH</w:t>
            </w:r>
          </w:p>
          <w:p w:rsidR="007530A2" w:rsidRPr="008D6248" w:rsidRDefault="007530A2" w:rsidP="00E41424">
            <w:pPr>
              <w:spacing w:before="220"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D6248">
              <w:rPr>
                <w:rFonts w:ascii="Times New Roman" w:eastAsia="Calibri" w:hAnsi="Times New Roman" w:cs="Times New Roman"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F9BB2" wp14:editId="3A94F74C">
                      <wp:simplePos x="0" y="0"/>
                      <wp:positionH relativeFrom="column">
                        <wp:posOffset>1387211</wp:posOffset>
                      </wp:positionH>
                      <wp:positionV relativeFrom="paragraph">
                        <wp:posOffset>100965</wp:posOffset>
                      </wp:positionV>
                      <wp:extent cx="1085850" cy="0"/>
                      <wp:effectExtent l="0" t="0" r="1905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9318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09.25pt;margin-top:7.95pt;width:85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"/>
                  </w:pict>
                </mc:Fallback>
              </mc:AlternateConten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FFFFFF"/>
              </w:rPr>
              <w:t>Số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FFFFFF"/>
              </w:rPr>
              <w:t>: 159/QĐ-GDĐT</w:t>
            </w:r>
          </w:p>
        </w:tc>
        <w:tc>
          <w:tcPr>
            <w:tcW w:w="8212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Độc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lập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Tự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 xml:space="preserve"> do 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Hạnh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6"/>
              </w:rPr>
              <w:t>phúc</w:t>
            </w:r>
            <w:proofErr w:type="spellEnd"/>
          </w:p>
          <w:p w:rsidR="007530A2" w:rsidRPr="008D6248" w:rsidRDefault="007530A2" w:rsidP="00E41424">
            <w:pPr>
              <w:spacing w:before="220"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vi-VN"/>
              </w:rPr>
            </w:pPr>
            <w:r w:rsidRPr="008D6248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FED35" wp14:editId="4C9BF8D9">
                      <wp:simplePos x="0" y="0"/>
                      <wp:positionH relativeFrom="column">
                        <wp:posOffset>1463411</wp:posOffset>
                      </wp:positionH>
                      <wp:positionV relativeFrom="paragraph">
                        <wp:posOffset>36195</wp:posOffset>
                      </wp:positionV>
                      <wp:extent cx="2182483" cy="0"/>
                      <wp:effectExtent l="0" t="0" r="2794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24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E5AD4"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2.85pt" to="28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530A2" w:rsidRPr="008D6248" w:rsidRDefault="007530A2" w:rsidP="007530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D6248">
        <w:rPr>
          <w:rFonts w:ascii="Times New Roman" w:eastAsia="Calibri" w:hAnsi="Times New Roman" w:cs="Times New Roman"/>
          <w:b/>
          <w:bCs/>
          <w:sz w:val="28"/>
          <w:szCs w:val="28"/>
        </w:rPr>
        <w:t>Phụ</w:t>
      </w:r>
      <w:proofErr w:type="spellEnd"/>
      <w:r w:rsidRPr="008D62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6248">
        <w:rPr>
          <w:rFonts w:ascii="Times New Roman" w:eastAsia="Calibri" w:hAnsi="Times New Roman" w:cs="Times New Roman"/>
          <w:b/>
          <w:bCs/>
          <w:sz w:val="28"/>
          <w:szCs w:val="28"/>
        </w:rPr>
        <w:t>lục</w:t>
      </w:r>
      <w:proofErr w:type="spellEnd"/>
      <w:r w:rsidRPr="008D62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</w:p>
    <w:p w:rsidR="007530A2" w:rsidRPr="008D6248" w:rsidRDefault="007530A2" w:rsidP="00753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6248">
        <w:rPr>
          <w:rFonts w:ascii="Times New Roman" w:eastAsia="Calibri" w:hAnsi="Times New Roman" w:cs="Times New Roman"/>
          <w:b/>
          <w:bCs/>
          <w:sz w:val="32"/>
          <w:szCs w:val="32"/>
          <w:lang w:val="vi-VN"/>
        </w:rPr>
        <w:t xml:space="preserve">KHUNG KẾ HOẠCH DẠY HỌC </w:t>
      </w:r>
      <w:r w:rsidRPr="008D6248">
        <w:rPr>
          <w:rFonts w:ascii="Times New Roman" w:eastAsia="Calibri" w:hAnsi="Times New Roman" w:cs="Times New Roman"/>
          <w:b/>
          <w:sz w:val="32"/>
          <w:szCs w:val="32"/>
          <w:lang w:val="vi-VN"/>
        </w:rPr>
        <w:t>B</w:t>
      </w:r>
      <w:r w:rsidRPr="008D6248">
        <w:rPr>
          <w:rFonts w:ascii="Times New Roman" w:eastAsia="Calibri" w:hAnsi="Times New Roman" w:cs="Times New Roman"/>
          <w:b/>
          <w:sz w:val="32"/>
          <w:szCs w:val="32"/>
        </w:rPr>
        <w:t>Ộ MÔN MĨ THUẬT</w:t>
      </w:r>
      <w:r w:rsidRPr="008D6248"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</w:t>
      </w:r>
      <w:r w:rsidRPr="008D6248">
        <w:rPr>
          <w:rFonts w:ascii="Times New Roman" w:eastAsia="Calibri" w:hAnsi="Times New Roman" w:cs="Times New Roman"/>
          <w:b/>
          <w:bCs/>
          <w:sz w:val="32"/>
          <w:szCs w:val="32"/>
          <w:lang w:val="vi-VN"/>
        </w:rPr>
        <w:t>KHỐI LỚP 6</w:t>
      </w:r>
      <w:r w:rsidR="00516E54">
        <w:rPr>
          <w:rFonts w:ascii="Times New Roman" w:eastAsia="Calibri" w:hAnsi="Times New Roman" w:cs="Times New Roman"/>
          <w:b/>
          <w:bCs/>
          <w:sz w:val="32"/>
          <w:szCs w:val="32"/>
          <w:lang w:val="vi-VN"/>
        </w:rPr>
        <w:t xml:space="preserve"> VÀ LỚP 7</w:t>
      </w:r>
    </w:p>
    <w:p w:rsidR="007530A2" w:rsidRPr="008D6248" w:rsidRDefault="007530A2" w:rsidP="007530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D624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HỌC: </w:t>
      </w:r>
      <w:r w:rsidRPr="008D6248">
        <w:rPr>
          <w:rFonts w:ascii="Times New Roman" w:hAnsi="Times New Roman" w:cs="Times New Roman"/>
          <w:b/>
          <w:bCs/>
          <w:sz w:val="28"/>
          <w:szCs w:val="28"/>
        </w:rPr>
        <w:t>NGHỆ THUẬT-</w:t>
      </w:r>
      <w:r w:rsidRPr="008D624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MĨ THUẬT, KHỐI </w:t>
      </w:r>
      <w:r w:rsidR="000922B5" w:rsidRPr="008D6248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="00516E5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VÀ LỚP 7</w:t>
      </w:r>
      <w:r w:rsidRPr="008D624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 CTST</w:t>
      </w:r>
      <w:r w:rsidRPr="008D624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8D6248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:rsidR="007530A2" w:rsidRPr="008D6248" w:rsidRDefault="007530A2" w:rsidP="00753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8D6248">
        <w:rPr>
          <w:rFonts w:ascii="Times New Roman" w:eastAsia="Calibri" w:hAnsi="Times New Roman" w:cs="Times New Roman"/>
          <w:b/>
          <w:sz w:val="28"/>
          <w:szCs w:val="28"/>
          <w:lang w:val="vi-VN"/>
        </w:rPr>
        <w:t>Năm học 20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922B5" w:rsidRPr="008D6248">
        <w:rPr>
          <w:rFonts w:ascii="Times New Roman" w:eastAsia="Calibri" w:hAnsi="Times New Roman" w:cs="Times New Roman"/>
          <w:b/>
          <w:sz w:val="28"/>
          <w:szCs w:val="28"/>
          <w:lang w:val="vi-VN"/>
        </w:rPr>
        <w:t>2</w:t>
      </w:r>
      <w:r w:rsidRPr="008D6248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- 20</w:t>
      </w:r>
      <w:r w:rsidRPr="008D624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922B5" w:rsidRPr="008D6248">
        <w:rPr>
          <w:rFonts w:ascii="Times New Roman" w:eastAsia="Calibri" w:hAnsi="Times New Roman" w:cs="Times New Roman"/>
          <w:b/>
          <w:sz w:val="28"/>
          <w:szCs w:val="28"/>
          <w:lang w:val="vi-VN"/>
        </w:rPr>
        <w:t>3</w:t>
      </w:r>
    </w:p>
    <w:tbl>
      <w:tblPr>
        <w:tblW w:w="1417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304"/>
        <w:gridCol w:w="744"/>
        <w:gridCol w:w="7902"/>
        <w:gridCol w:w="2409"/>
      </w:tblGrid>
      <w:tr w:rsidR="007530A2" w:rsidRPr="008D6248" w:rsidTr="00E41424">
        <w:trPr>
          <w:tblHeader/>
        </w:trPr>
        <w:tc>
          <w:tcPr>
            <w:tcW w:w="815" w:type="dxa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7902" w:type="dxa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lồng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ghép</w:t>
            </w:r>
            <w:proofErr w:type="spellEnd"/>
          </w:p>
        </w:tc>
      </w:tr>
      <w:tr w:rsidR="007530A2" w:rsidRPr="008D6248" w:rsidTr="00E41424">
        <w:trPr>
          <w:trHeight w:val="459"/>
        </w:trPr>
        <w:tc>
          <w:tcPr>
            <w:tcW w:w="14174" w:type="dxa"/>
            <w:gridSpan w:val="5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KÌ I</w:t>
            </w:r>
          </w:p>
        </w:tc>
      </w:tr>
      <w:tr w:rsidR="007530A2" w:rsidRPr="008D6248" w:rsidTr="00E41424">
        <w:trPr>
          <w:trHeight w:val="409"/>
        </w:trPr>
        <w:tc>
          <w:tcPr>
            <w:tcW w:w="14174" w:type="dxa"/>
            <w:gridSpan w:val="5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ĐỀ: BIỂU CẢM CỦA SẮC MÀU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Tranh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giai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âm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biểu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chấm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tưởng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tượng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âm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tương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âm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Lồng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ghép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Âm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nhạc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rPr>
          <w:trHeight w:val="90"/>
        </w:trPr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0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Tranh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tĩnh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tĩnh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bức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tĩnh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mẫu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trở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bố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cục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tỉ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lệ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vẻ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trái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đời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sống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tác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0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Tranh in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kĩ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khác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bức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lá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lá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Bưu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thiếp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chúc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mừng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sẵn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bưu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thiếp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bưu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thiếp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chúc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mừng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sẵn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vai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bưu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thiếp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chúc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mừng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rPr>
          <w:trHeight w:val="493"/>
        </w:trPr>
        <w:tc>
          <w:tcPr>
            <w:tcW w:w="14174" w:type="dxa"/>
            <w:gridSpan w:val="5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ĐỀ: NGHỆ THUẬT TIỀN SỬ THẾ GIỚI VÀ VIỆT NAM</w:t>
            </w:r>
          </w:p>
        </w:tc>
      </w:tr>
      <w:tr w:rsidR="007530A2" w:rsidRPr="008D6248" w:rsidTr="00E41424">
        <w:trPr>
          <w:trHeight w:val="982"/>
        </w:trPr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hang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Nêu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phỏng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theo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mẫu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phỏng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người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tiền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theo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vẻ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trị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tiền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tiền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Quan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sát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nguyên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xứng,cân</w:t>
            </w:r>
            <w:proofErr w:type="spellEnd"/>
            <w:proofErr w:type="gram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tiền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nguyên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trên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.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Phát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huy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trị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tiền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cuộc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Túi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giấy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đựng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quà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tặng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dáng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một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chiếc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túi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quà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đơn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chiếc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túi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quà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giấy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bìa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tiền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vai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trò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năng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mẫu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nghiệp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quy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dáng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một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phục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vụ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rPr>
          <w:trHeight w:val="475"/>
        </w:trPr>
        <w:tc>
          <w:tcPr>
            <w:tcW w:w="14174" w:type="dxa"/>
            <w:gridSpan w:val="5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ĐỀ: LỄ HỘI QUÊ HƯƠNG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3D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dây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thép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dây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thép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giấy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để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3D.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dáng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3D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dây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thép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giấy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Bước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đầu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 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Trang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phục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lễ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lựa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chọn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phục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3D.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phục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thể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hiện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đặc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điểm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theo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ý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tưởng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trên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phục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đặc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văn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hóa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truyền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lễ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nghệ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rPr>
          <w:trHeight w:val="557"/>
        </w:trPr>
        <w:tc>
          <w:tcPr>
            <w:tcW w:w="14174" w:type="dxa"/>
            <w:gridSpan w:val="5"/>
            <w:shd w:val="clear" w:color="auto" w:fill="FFFFFF" w:themeFill="background1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HỌC KÌ II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 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Hoạt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cảnh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ngày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sắp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đặt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hoạt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cảnh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ngày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4: 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xuân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quê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bố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cục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theo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đề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lễ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quê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hương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diễn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rPr>
          <w:trHeight w:val="499"/>
        </w:trPr>
        <w:tc>
          <w:tcPr>
            <w:tcW w:w="14174" w:type="dxa"/>
            <w:gridSpan w:val="5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ĐỀ: NGHỆ THUẬT CỔ ĐẠI THẾ GIỚI VÀ VIỆT NAM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Ai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Cập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cổ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đại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mắt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đặc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nghệ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cổ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đại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ảnh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ảnh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nghệ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cổ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đại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độc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trị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nghệ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cổ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đại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thế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giới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một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số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ảnh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tiêu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biểu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kì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này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Họa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trống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kĩ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phỏng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họa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trống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in.</w:t>
            </w:r>
          </w:p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vẻ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họa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trống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in.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giữ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gìn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phát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triển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nghệ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tộc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Thảm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hoạ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trống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nguyên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lặp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lại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vuông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Trang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vuông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đồng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.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ý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giữ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gìn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di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nghệ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tộc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7530A2" w:rsidRPr="008D6248" w:rsidTr="00E41424">
        <w:trPr>
          <w:trHeight w:val="496"/>
        </w:trPr>
        <w:tc>
          <w:tcPr>
            <w:tcW w:w="14174" w:type="dxa"/>
            <w:gridSpan w:val="5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CHỦ ĐỀ: VẬT LIỆU HỮU ÍCH</w:t>
            </w:r>
          </w:p>
        </w:tc>
      </w:tr>
      <w:tr w:rsidR="007530A2" w:rsidRPr="008D6248" w:rsidTr="00E41424">
        <w:trPr>
          <w:trHeight w:val="434"/>
        </w:trPr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đã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Nêu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một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số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ứng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ý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nghĩa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việc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học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tập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cuộc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Khuyến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: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thiện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trường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đảm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bảo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an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toàn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sinh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học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ngôi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3D</w:t>
            </w:r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Nêu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để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ngôi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ngôi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3D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từ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về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ngôi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.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biết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trị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đồ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qua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;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ý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bảo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trường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3:</w:t>
            </w:r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Khu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tương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lai</w:t>
            </w:r>
            <w:proofErr w:type="spellEnd"/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đường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để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cảnh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muốn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đường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không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.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Có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ý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giữ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gìn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vệ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sinh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xây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dựng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trường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xanh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sạch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30A2" w:rsidRPr="008D6248" w:rsidTr="00E41424">
        <w:tc>
          <w:tcPr>
            <w:tcW w:w="815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04" w:type="dxa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kết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Các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</w:p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  <w:vAlign w:val="center"/>
          </w:tcPr>
          <w:p w:rsidR="007530A2" w:rsidRPr="008D6248" w:rsidRDefault="007530A2" w:rsidP="00E41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2" w:type="dxa"/>
          </w:tcPr>
          <w:p w:rsidR="007530A2" w:rsidRPr="008D6248" w:rsidRDefault="007530A2" w:rsidP="00E4142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Chỉ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ra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những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học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thuộc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thể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loại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: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hội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đồ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điêu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khắc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Làm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đồ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(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hoặc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bảng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thống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kê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)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học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thuộc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các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nhóm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: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tạo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ứng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dụng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hợp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luận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lịch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sử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br/>
              <w:t xml:space="preserve">–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Tự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đánh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giá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được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quá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trình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kết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quả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học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tập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môn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thuật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bản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thân</w:t>
            </w:r>
            <w:proofErr w:type="spellEnd"/>
            <w:r w:rsidRPr="008D6248">
              <w:rPr>
                <w:rFonts w:ascii="Times New Roman" w:eastAsia="Calibri" w:hAnsi="Times New Roman" w:cs="Times New Roman"/>
                <w:color w:val="242021"/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7530A2" w:rsidRPr="008D6248" w:rsidRDefault="007530A2" w:rsidP="00E414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33A20" w:rsidRPr="008D6248" w:rsidRDefault="00833A20">
      <w:pPr>
        <w:rPr>
          <w:rFonts w:ascii="Times New Roman" w:hAnsi="Times New Roman" w:cs="Times New Roman"/>
        </w:rPr>
      </w:pPr>
    </w:p>
    <w:p w:rsidR="0086718D" w:rsidRPr="00C321C2" w:rsidRDefault="0086718D" w:rsidP="004B0F98">
      <w:pPr>
        <w:ind w:left="720" w:firstLine="720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C321C2">
        <w:rPr>
          <w:rFonts w:ascii="Times New Roman" w:hAnsi="Times New Roman" w:cs="Times New Roman"/>
          <w:b/>
          <w:bCs/>
          <w:sz w:val="36"/>
          <w:szCs w:val="36"/>
          <w:lang w:val="vi-VN"/>
        </w:rPr>
        <w:lastRenderedPageBreak/>
        <w:t>LỚP 7</w:t>
      </w:r>
    </w:p>
    <w:tbl>
      <w:tblPr>
        <w:tblStyle w:val="TableGrid"/>
        <w:tblW w:w="13320" w:type="dxa"/>
        <w:tblInd w:w="1032" w:type="dxa"/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5386"/>
        <w:gridCol w:w="1985"/>
      </w:tblGrid>
      <w:tr w:rsidR="0086718D" w:rsidRPr="008D6248" w:rsidTr="004B0F98">
        <w:tc>
          <w:tcPr>
            <w:tcW w:w="1129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828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92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5386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985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86718D" w:rsidRPr="008D6248" w:rsidTr="004B0F98">
        <w:tc>
          <w:tcPr>
            <w:tcW w:w="1129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Tranh,ảnh</w:t>
            </w:r>
            <w:proofErr w:type="spellEnd"/>
            <w:proofErr w:type="gram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(9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85" w:type="dxa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3325" w:type="dxa"/>
        <w:tblInd w:w="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992"/>
        <w:gridCol w:w="5386"/>
        <w:gridCol w:w="1985"/>
      </w:tblGrid>
      <w:tr w:rsidR="0086718D" w:rsidRPr="008D6248" w:rsidTr="004B0F98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kẽm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chai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gỗ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video,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(7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- 3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HKI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8D" w:rsidRPr="008D6248" w:rsidRDefault="0086718D" w:rsidP="00921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18D" w:rsidRPr="008D6248" w:rsidRDefault="0086718D" w:rsidP="00867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8D6248" w:rsidRPr="008D6248" w:rsidRDefault="008D6248" w:rsidP="004B0F98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8D6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8D6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8D6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8D6248">
        <w:rPr>
          <w:rFonts w:ascii="Times New Roman" w:hAnsi="Times New Roman" w:cs="Times New Roman"/>
          <w:b/>
          <w:sz w:val="28"/>
          <w:szCs w:val="28"/>
        </w:rPr>
        <w:t>.</w:t>
      </w:r>
    </w:p>
    <w:p w:rsidR="008D6248" w:rsidRPr="008D6248" w:rsidRDefault="008D6248" w:rsidP="004B0F9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D6248">
        <w:rPr>
          <w:rFonts w:ascii="Times New Roman" w:hAnsi="Times New Roman" w:cs="Times New Roman"/>
          <w:b/>
          <w:sz w:val="28"/>
          <w:szCs w:val="28"/>
        </w:rPr>
        <w:t xml:space="preserve">1.Phân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phối</w:t>
      </w:r>
      <w:proofErr w:type="spellEnd"/>
      <w:r w:rsidRPr="008D6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8D6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6248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</w:p>
    <w:tbl>
      <w:tblPr>
        <w:tblW w:w="13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458"/>
        <w:gridCol w:w="1843"/>
        <w:gridCol w:w="851"/>
        <w:gridCol w:w="7796"/>
        <w:gridCol w:w="992"/>
      </w:tblGrid>
      <w:tr w:rsidR="008D6248" w:rsidRPr="008D6248" w:rsidTr="008D6248">
        <w:trPr>
          <w:trHeight w:val="731"/>
        </w:trPr>
        <w:tc>
          <w:tcPr>
            <w:tcW w:w="697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01" w:type="dxa"/>
            <w:gridSpan w:val="2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  <w:t>học</w:t>
            </w:r>
            <w:proofErr w:type="spellEnd"/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  <w:t>Số</w:t>
            </w:r>
            <w:proofErr w:type="spellEnd"/>
            <w:r w:rsidRPr="008D6248"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7796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>Yêu</w:t>
            </w:r>
            <w:proofErr w:type="spellEnd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>cầu</w:t>
            </w:r>
            <w:proofErr w:type="spellEnd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>cần</w:t>
            </w:r>
            <w:proofErr w:type="spellEnd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>Ghi</w:t>
            </w:r>
            <w:proofErr w:type="spellEnd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  <w:t>chú</w:t>
            </w:r>
            <w:proofErr w:type="spellEnd"/>
          </w:p>
        </w:tc>
      </w:tr>
      <w:tr w:rsidR="008D6248" w:rsidRPr="008D6248" w:rsidTr="00D57780">
        <w:trPr>
          <w:trHeight w:val="731"/>
        </w:trPr>
        <w:tc>
          <w:tcPr>
            <w:tcW w:w="12645" w:type="dxa"/>
            <w:gridSpan w:val="5"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 KÌ I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121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CHỦ ĐỀ: CHỮ CÁCH </w:t>
            </w: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ĐIỆU TRONG ĐỜI SỐNG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điệu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12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2</w:t>
            </w: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121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2: Logo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dạng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logo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logo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logo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logo</w:t>
            </w: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12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81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ĐỀ: NGHỆ THUẬT TRUNG ĐẠI VIỆT NAM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diềm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họa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Chỉ ra được vẻ đẹp tạo hình và cách trang trí đường diềm với họa tiết thời Lý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Tạo được mẫu trang trí đường diềm với họa tiết thời Lý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Phân tích đực sự lặp lại, nhịp điệu, hài hòa về đường nét, hình khối của họa tiết thời Lý trong sản phẩm mĩ thuật.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Có ý thức giữ gìn, phát huy nét đẹp di sản nghệ thuật của dân tộc.</w:t>
            </w: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 Trang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phục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dài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họa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proofErr w:type="gram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81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6248" w:rsidRPr="008D6248" w:rsidRDefault="008D6248" w:rsidP="00D577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ĐGgk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8D6248" w:rsidRPr="008D6248" w:rsidTr="008D6248">
        <w:trPr>
          <w:trHeight w:val="12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sách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Việt Nam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Trung </w:t>
            </w:r>
            <w:proofErr w:type="spellStart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VN.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Phân tích được sự hài hòa về màu sắc, tỉ lệ hình và chữ trên bìa sách.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Có ý thức bảo tồn và quảng bá giá trị của di sản văn hóa dân tộc.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581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ĐỀ: HÌNH KHỐI TRONG KHÔ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</w:t>
            </w: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 GIAN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dạng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trụ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ỉ ra được cách vẽ vật mẫu có khối trụ, khối cầu trên mặt phẳng.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và diễn tả được hình khối và không gian của vật mẫu trên mặt phẳng.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tích được đậm nhạt diễn tả hướng ánh sáng trong bài vẽ.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được vẻ đẹp của không gian, ánh sánh tác động lên hình khối trên tự nh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iên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5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5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Ngôi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Chỉ ra được cách vẽ phối cảnh xa gần của ngôi nhà và cảnh vật trong tranh.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được bức tranh ngôi nhà có hình khối và không gian.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tích được màu sắc, đậm nhạt của ngôi nhà và cảnh vật trong bài vẽ.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sẻ được cảm nhận về vài trò của môi trường với cuộc sống của con người.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581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5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8: Chao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trúc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Chỉ ra được vẻ đẹp và kĩ thuật thiết kế tạo dáng sản phẩm với nghuyên lí lập laik, cân bằng.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Tạo được chao đèn trong trang trí kiến trúc bằng bìa các-tông.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 bày ý tưởng và phân tích được các nguyên lí tạo hình vận dụng trong sản phẩm.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được vai trò, ý nghĩa, công năng của sản phẩm thiết kế phục vụ đời sống.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582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ĐGck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</w:p>
        </w:tc>
      </w:tr>
      <w:tr w:rsidR="008D6248" w:rsidRPr="008D6248" w:rsidTr="008D6248">
        <w:trPr>
          <w:trHeight w:val="1349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KẾT HỌC KÌ I</w:t>
            </w:r>
          </w:p>
        </w:tc>
        <w:tc>
          <w:tcPr>
            <w:tcW w:w="1843" w:type="dxa"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được các hình thức mĩ thuật của mỗi bài học.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Lựa chọn trưng bày được các sản phẩm mĩ thuật.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 ra được các yếu tố và nguyên lí mĩ thuật được sử dụng trong sản phẩm.</w:t>
            </w:r>
          </w:p>
          <w:p w:rsidR="008D6248" w:rsidRPr="008D6248" w:rsidRDefault="008D6248" w:rsidP="00D57780">
            <w:pPr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349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ĐỀ: NGHỆ THUẬT TRUNG ĐẠI THẾ GIỚI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xứng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Gothic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Gothic.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Gothic.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Gothic.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trúc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Trung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khối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điêu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khắc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3D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thép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điêu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Trung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Phục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Phục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Phục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Phục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Phục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mảnh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ghép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mảng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mảnh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Mosaic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ĐGgk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II</w:t>
            </w: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ĐỀ: CUỘC SỐNG XƯA VÀ NAY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Chạm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khắc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đình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làng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chạm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dẻo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điêu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làng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Trống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Hnagf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15: Tranh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ước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ĐGck</w:t>
            </w:r>
            <w:proofErr w:type="spellEnd"/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II</w:t>
            </w: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16: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Sắc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2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mica.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tronh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1256"/>
        </w:trPr>
        <w:tc>
          <w:tcPr>
            <w:tcW w:w="697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8D6248" w:rsidRPr="008D6248" w:rsidTr="008D6248">
        <w:trPr>
          <w:trHeight w:val="731"/>
        </w:trPr>
        <w:tc>
          <w:tcPr>
            <w:tcW w:w="697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KẾT HỌC KÌ 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w w:val="87"/>
                <w:sz w:val="28"/>
                <w:szCs w:val="28"/>
              </w:rPr>
            </w:pP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Trưng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eastAsia="Calibri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8D6248" w:rsidRPr="00627581" w:rsidRDefault="00627581" w:rsidP="00D577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w w:val="87"/>
                <w:sz w:val="28"/>
                <w:szCs w:val="28"/>
                <w:lang w:val="vi-VN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được các hình thức m</w:t>
            </w: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ĩ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thuật của mỗi bài học.</w:t>
            </w:r>
          </w:p>
          <w:p w:rsidR="008D6248" w:rsidRPr="008D6248" w:rsidRDefault="008D6248" w:rsidP="00D57780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Lựa chọn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trưng bày được các sản phẩm mĩ thuật.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D62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Chỉ ra được các yếu tố và nguyên lí mĩ thuật được sử dụng trong sản phẩm.</w:t>
            </w:r>
          </w:p>
          <w:p w:rsidR="008D6248" w:rsidRPr="008D6248" w:rsidRDefault="008D6248" w:rsidP="00D5778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8D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6248" w:rsidRPr="008D6248" w:rsidRDefault="008D6248" w:rsidP="00D57780">
            <w:pPr>
              <w:spacing w:after="0" w:line="312" w:lineRule="auto"/>
              <w:jc w:val="center"/>
              <w:rPr>
                <w:rFonts w:ascii="Times New Roman" w:eastAsia="Arial" w:hAnsi="Times New Roman" w:cs="Times New Roman"/>
                <w:b/>
                <w:w w:val="85"/>
                <w:sz w:val="28"/>
                <w:szCs w:val="28"/>
              </w:rPr>
            </w:pPr>
          </w:p>
        </w:tc>
      </w:tr>
    </w:tbl>
    <w:p w:rsidR="008D6248" w:rsidRPr="008D6248" w:rsidRDefault="008D6248" w:rsidP="00867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86718D" w:rsidRPr="008D6248" w:rsidRDefault="0086718D">
      <w:pPr>
        <w:rPr>
          <w:rFonts w:ascii="Times New Roman" w:hAnsi="Times New Roman" w:cs="Times New Roman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853"/>
      </w:tblGrid>
      <w:tr w:rsidR="007530A2" w:rsidRPr="008D6248" w:rsidTr="00E41424">
        <w:tc>
          <w:tcPr>
            <w:tcW w:w="4786" w:type="dxa"/>
            <w:hideMark/>
          </w:tcPr>
          <w:p w:rsidR="007530A2" w:rsidRPr="008D6248" w:rsidRDefault="007530A2" w:rsidP="00F03DCE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30A2" w:rsidRPr="00280C20" w:rsidRDefault="00280C20" w:rsidP="00E41424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HIỆU TRƯỞNG</w:t>
            </w:r>
          </w:p>
          <w:p w:rsidR="007530A2" w:rsidRPr="008D6248" w:rsidRDefault="007530A2" w:rsidP="00E41424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30A2" w:rsidRPr="008D6248" w:rsidRDefault="007530A2" w:rsidP="00E41424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30A2" w:rsidRPr="008D6248" w:rsidRDefault="007530A2" w:rsidP="00E41424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7530A2" w:rsidRPr="008D6248" w:rsidRDefault="007530A2" w:rsidP="00E41424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530A2" w:rsidRPr="008D6248" w:rsidRDefault="007530A2" w:rsidP="00E41424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TRƯỞNG CM</w:t>
            </w:r>
          </w:p>
        </w:tc>
        <w:tc>
          <w:tcPr>
            <w:tcW w:w="4853" w:type="dxa"/>
            <w:hideMark/>
          </w:tcPr>
          <w:p w:rsidR="007530A2" w:rsidRPr="008D6248" w:rsidRDefault="00DE2AB8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           </w:t>
            </w:r>
            <w:proofErr w:type="gramStart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 ,</w:t>
            </w:r>
            <w:proofErr w:type="gramEnd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28</w:t>
            </w:r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08</w:t>
            </w:r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7530A2" w:rsidRPr="008D624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2022</w:t>
            </w:r>
          </w:p>
          <w:p w:rsidR="007530A2" w:rsidRDefault="007530A2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62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</w:t>
            </w:r>
            <w:r w:rsidR="00DE2A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</w:t>
            </w:r>
            <w:r w:rsidR="00280C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GIÁO VIÊN</w:t>
            </w:r>
          </w:p>
          <w:p w:rsidR="00DE2AB8" w:rsidRDefault="00DE2AB8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E2AB8" w:rsidRDefault="00DE2AB8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E2AB8" w:rsidRDefault="00DE2AB8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E2AB8" w:rsidRDefault="00DE2AB8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E2AB8" w:rsidRPr="00280C20" w:rsidRDefault="00DE2AB8" w:rsidP="00E41424">
            <w:pPr>
              <w:spacing w:after="0" w:line="40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LÊ ĐỨC THÀNH</w:t>
            </w:r>
          </w:p>
        </w:tc>
      </w:tr>
    </w:tbl>
    <w:p w:rsidR="007530A2" w:rsidRPr="008D6248" w:rsidRDefault="007530A2">
      <w:pPr>
        <w:rPr>
          <w:rFonts w:ascii="Times New Roman" w:hAnsi="Times New Roman" w:cs="Times New Roman"/>
        </w:rPr>
      </w:pPr>
    </w:p>
    <w:sectPr w:rsidR="007530A2" w:rsidRPr="008D6248" w:rsidSect="0058588F">
      <w:pgSz w:w="16834" w:h="11909" w:orient="landscape" w:code="9"/>
      <w:pgMar w:top="1296" w:right="1296" w:bottom="129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A2"/>
    <w:rsid w:val="000922B5"/>
    <w:rsid w:val="00280C20"/>
    <w:rsid w:val="004B0F98"/>
    <w:rsid w:val="00516E54"/>
    <w:rsid w:val="0058588F"/>
    <w:rsid w:val="00627581"/>
    <w:rsid w:val="00675F97"/>
    <w:rsid w:val="00685956"/>
    <w:rsid w:val="007530A2"/>
    <w:rsid w:val="00833A20"/>
    <w:rsid w:val="0086718D"/>
    <w:rsid w:val="008D6248"/>
    <w:rsid w:val="00C321C2"/>
    <w:rsid w:val="00DE2AB8"/>
    <w:rsid w:val="00F03DCE"/>
    <w:rsid w:val="00F9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FF6C"/>
  <w15:chartTrackingRefBased/>
  <w15:docId w15:val="{F2824B51-2A3B-4FB8-A073-5CF97744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A2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18D"/>
    <w:pPr>
      <w:spacing w:after="0" w:line="240" w:lineRule="auto"/>
    </w:pPr>
    <w:rPr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Thanh</dc:creator>
  <cp:keywords/>
  <dc:description/>
  <cp:lastModifiedBy>Le Thanh</cp:lastModifiedBy>
  <cp:revision>14</cp:revision>
  <dcterms:created xsi:type="dcterms:W3CDTF">2022-08-29T07:38:00Z</dcterms:created>
  <dcterms:modified xsi:type="dcterms:W3CDTF">2022-09-27T01:01:00Z</dcterms:modified>
</cp:coreProperties>
</file>